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CAEDA" w14:textId="77777777" w:rsidR="007F71FD" w:rsidRDefault="007F71FD" w:rsidP="00FA1852">
      <w:pPr>
        <w:tabs>
          <w:tab w:val="left" w:pos="930"/>
        </w:tabs>
        <w:snapToGrid w:val="0"/>
        <w:jc w:val="center"/>
        <w:rPr>
          <w:rFonts w:eastAsia="標楷體"/>
          <w:b/>
          <w:bCs/>
          <w:sz w:val="28"/>
        </w:rPr>
      </w:pPr>
      <w:r>
        <w:rPr>
          <w:rFonts w:eastAsia="標楷體" w:hint="eastAsia"/>
          <w:b/>
          <w:bCs/>
          <w:sz w:val="32"/>
        </w:rPr>
        <w:t>中華民國工程技術顧問商業同業公會</w:t>
      </w:r>
      <w:r>
        <w:rPr>
          <w:rFonts w:eastAsia="標楷體" w:hint="eastAsia"/>
          <w:b/>
          <w:bCs/>
          <w:sz w:val="28"/>
        </w:rPr>
        <w:t>會員入會說明事項</w:t>
      </w:r>
    </w:p>
    <w:p w14:paraId="093CE167" w14:textId="77777777" w:rsidR="007F71FD" w:rsidRDefault="007F71FD" w:rsidP="00FA1852">
      <w:pPr>
        <w:tabs>
          <w:tab w:val="left" w:pos="930"/>
        </w:tabs>
        <w:spacing w:beforeLines="50" w:before="180"/>
        <w:rPr>
          <w:rFonts w:eastAsia="標楷體"/>
        </w:rPr>
      </w:pPr>
      <w:r>
        <w:rPr>
          <w:rFonts w:eastAsia="標楷體" w:hint="eastAsia"/>
        </w:rPr>
        <w:t>依據中華民國工程技術顧問商業同業公會章程，本會會員代表及收費標準之規定如下：</w:t>
      </w:r>
    </w:p>
    <w:p w14:paraId="7F9FD7CC" w14:textId="77777777" w:rsidR="007F71FD" w:rsidRDefault="007F71FD">
      <w:pPr>
        <w:numPr>
          <w:ilvl w:val="0"/>
          <w:numId w:val="2"/>
        </w:numPr>
        <w:tabs>
          <w:tab w:val="left" w:pos="930"/>
        </w:tabs>
        <w:snapToGrid w:val="0"/>
        <w:spacing w:beforeLines="50" w:before="180"/>
        <w:rPr>
          <w:rFonts w:eastAsia="標楷體"/>
        </w:rPr>
      </w:pPr>
      <w:r>
        <w:rPr>
          <w:rFonts w:eastAsia="標楷體" w:hint="eastAsia"/>
        </w:rPr>
        <w:t xml:space="preserve">    </w:t>
      </w:r>
      <w:r>
        <w:rPr>
          <w:rFonts w:eastAsia="標楷體" w:hint="eastAsia"/>
        </w:rPr>
        <w:t>凡在中華民國依法登記、領有營利事業登記證及公共工程委員會工程技術顧問公司登記證或技術顧問機構登記證，經營各項工程之諮詢、規劃、設計、監造及管理顧問業務之公民營公司、機構，願加入本會者應於開業後一個月內加入本會為會員。</w:t>
      </w:r>
    </w:p>
    <w:p w14:paraId="3226B3D5" w14:textId="77777777" w:rsidR="007F71FD" w:rsidRDefault="007F71FD">
      <w:pPr>
        <w:pStyle w:val="a3"/>
      </w:pPr>
      <w:r>
        <w:rPr>
          <w:rFonts w:hint="eastAsia"/>
        </w:rPr>
        <w:t>本會會員代表之推派，以公司之負責人、經理人、董事、現任職員</w:t>
      </w:r>
      <w:proofErr w:type="gramStart"/>
      <w:r>
        <w:rPr>
          <w:rFonts w:hint="eastAsia"/>
        </w:rPr>
        <w:t>遴</w:t>
      </w:r>
      <w:proofErr w:type="gramEnd"/>
      <w:r>
        <w:rPr>
          <w:rFonts w:hint="eastAsia"/>
        </w:rPr>
        <w:t>派之，並應遵照左列資本額分為七級，各級會員之代表人數依下列標準派任，但每一公司所派代表最多以七人為限。</w:t>
      </w:r>
    </w:p>
    <w:p w14:paraId="11CDBCA3" w14:textId="77777777" w:rsidR="007F71FD" w:rsidRDefault="007F71FD">
      <w:pPr>
        <w:tabs>
          <w:tab w:val="left" w:pos="720"/>
        </w:tabs>
        <w:ind w:leftChars="300" w:left="720"/>
        <w:rPr>
          <w:rFonts w:eastAsia="標楷體"/>
        </w:rPr>
      </w:pPr>
      <w:r>
        <w:rPr>
          <w:rFonts w:eastAsia="標楷體" w:hint="eastAsia"/>
        </w:rPr>
        <w:t>一級：實收資本額新台幣柒仟萬元（不含）以下者，一人。</w:t>
      </w:r>
    </w:p>
    <w:p w14:paraId="1CCA6CEB" w14:textId="77777777" w:rsidR="007F71FD" w:rsidRDefault="007F71FD">
      <w:pPr>
        <w:tabs>
          <w:tab w:val="left" w:pos="930"/>
        </w:tabs>
        <w:ind w:leftChars="300" w:left="960" w:hangingChars="100" w:hanging="240"/>
        <w:rPr>
          <w:rFonts w:eastAsia="標楷體"/>
        </w:rPr>
      </w:pPr>
      <w:r>
        <w:rPr>
          <w:rFonts w:eastAsia="標楷體" w:hint="eastAsia"/>
        </w:rPr>
        <w:t>二級：實收資本額新台幣柒仟萬元</w:t>
      </w:r>
      <w:r>
        <w:rPr>
          <w:rFonts w:eastAsia="標楷體" w:hint="eastAsia"/>
        </w:rPr>
        <w:t>(</w:t>
      </w:r>
      <w:r>
        <w:rPr>
          <w:rFonts w:eastAsia="標楷體" w:hint="eastAsia"/>
        </w:rPr>
        <w:t>含</w:t>
      </w:r>
      <w:r>
        <w:rPr>
          <w:rFonts w:eastAsia="標楷體" w:hint="eastAsia"/>
        </w:rPr>
        <w:t>)</w:t>
      </w:r>
      <w:r>
        <w:rPr>
          <w:rFonts w:eastAsia="標楷體" w:hint="eastAsia"/>
        </w:rPr>
        <w:t>以上未達新台幣壹億元者，二人。</w:t>
      </w:r>
    </w:p>
    <w:p w14:paraId="1CC13396" w14:textId="77777777" w:rsidR="007F71FD" w:rsidRDefault="007F71FD">
      <w:pPr>
        <w:tabs>
          <w:tab w:val="left" w:pos="930"/>
        </w:tabs>
        <w:ind w:leftChars="300" w:left="960" w:hangingChars="100" w:hanging="240"/>
        <w:rPr>
          <w:rFonts w:eastAsia="標楷體"/>
        </w:rPr>
      </w:pPr>
      <w:r>
        <w:rPr>
          <w:rFonts w:eastAsia="標楷體" w:hint="eastAsia"/>
        </w:rPr>
        <w:t>三級：實收資本額新台幣壹億元</w:t>
      </w:r>
      <w:r>
        <w:rPr>
          <w:rFonts w:eastAsia="標楷體" w:hint="eastAsia"/>
        </w:rPr>
        <w:t>(</w:t>
      </w:r>
      <w:r>
        <w:rPr>
          <w:rFonts w:eastAsia="標楷體" w:hint="eastAsia"/>
        </w:rPr>
        <w:t>含</w:t>
      </w:r>
      <w:r>
        <w:rPr>
          <w:rFonts w:eastAsia="標楷體" w:hint="eastAsia"/>
        </w:rPr>
        <w:t>)</w:t>
      </w:r>
      <w:r>
        <w:rPr>
          <w:rFonts w:eastAsia="標楷體" w:hint="eastAsia"/>
        </w:rPr>
        <w:t>以上未達新台幣壹億伍仟萬元者，三人。</w:t>
      </w:r>
    </w:p>
    <w:p w14:paraId="3AE4CE85" w14:textId="77777777" w:rsidR="007F71FD" w:rsidRDefault="007F71FD">
      <w:pPr>
        <w:tabs>
          <w:tab w:val="left" w:pos="930"/>
        </w:tabs>
        <w:ind w:leftChars="300" w:left="960" w:hangingChars="100" w:hanging="240"/>
        <w:rPr>
          <w:rFonts w:eastAsia="標楷體"/>
        </w:rPr>
      </w:pPr>
      <w:r>
        <w:rPr>
          <w:rFonts w:eastAsia="標楷體" w:hint="eastAsia"/>
        </w:rPr>
        <w:t>四級：實收資本額新台幣壹億伍仟萬元</w:t>
      </w:r>
      <w:r>
        <w:rPr>
          <w:rFonts w:eastAsia="標楷體" w:hint="eastAsia"/>
        </w:rPr>
        <w:t>(</w:t>
      </w:r>
      <w:r>
        <w:rPr>
          <w:rFonts w:eastAsia="標楷體" w:hint="eastAsia"/>
        </w:rPr>
        <w:t>含</w:t>
      </w:r>
      <w:r>
        <w:rPr>
          <w:rFonts w:eastAsia="標楷體" w:hint="eastAsia"/>
        </w:rPr>
        <w:t>)</w:t>
      </w:r>
      <w:r>
        <w:rPr>
          <w:rFonts w:eastAsia="標楷體" w:hint="eastAsia"/>
        </w:rPr>
        <w:t>以上未達新台幣貳億元者，四人。</w:t>
      </w:r>
    </w:p>
    <w:p w14:paraId="76D393AA" w14:textId="77777777" w:rsidR="007F71FD" w:rsidRDefault="007F71FD">
      <w:pPr>
        <w:tabs>
          <w:tab w:val="left" w:pos="930"/>
        </w:tabs>
        <w:ind w:leftChars="300" w:left="960" w:hangingChars="100" w:hanging="240"/>
        <w:rPr>
          <w:rFonts w:eastAsia="標楷體"/>
        </w:rPr>
      </w:pPr>
      <w:r>
        <w:rPr>
          <w:rFonts w:eastAsia="標楷體" w:hint="eastAsia"/>
        </w:rPr>
        <w:t>五級：實收資本額新台幣貳億元</w:t>
      </w:r>
      <w:r>
        <w:rPr>
          <w:rFonts w:eastAsia="標楷體" w:hint="eastAsia"/>
        </w:rPr>
        <w:t>(</w:t>
      </w:r>
      <w:r>
        <w:rPr>
          <w:rFonts w:eastAsia="標楷體" w:hint="eastAsia"/>
        </w:rPr>
        <w:t>含</w:t>
      </w:r>
      <w:r>
        <w:rPr>
          <w:rFonts w:eastAsia="標楷體" w:hint="eastAsia"/>
        </w:rPr>
        <w:t>)</w:t>
      </w:r>
      <w:r>
        <w:rPr>
          <w:rFonts w:eastAsia="標楷體" w:hint="eastAsia"/>
        </w:rPr>
        <w:t>以上未達新台幣參億元者，五人。</w:t>
      </w:r>
    </w:p>
    <w:p w14:paraId="2DD4C84F" w14:textId="77777777" w:rsidR="007F71FD" w:rsidRDefault="007F71FD">
      <w:pPr>
        <w:tabs>
          <w:tab w:val="left" w:pos="930"/>
        </w:tabs>
        <w:ind w:leftChars="300" w:left="960" w:hangingChars="100" w:hanging="240"/>
        <w:rPr>
          <w:rFonts w:eastAsia="標楷體"/>
        </w:rPr>
      </w:pPr>
      <w:r>
        <w:rPr>
          <w:rFonts w:eastAsia="標楷體" w:hint="eastAsia"/>
        </w:rPr>
        <w:t>六級：實收資本額新台幣參億元</w:t>
      </w:r>
      <w:r>
        <w:rPr>
          <w:rFonts w:eastAsia="標楷體" w:hint="eastAsia"/>
        </w:rPr>
        <w:t>(</w:t>
      </w:r>
      <w:r>
        <w:rPr>
          <w:rFonts w:eastAsia="標楷體" w:hint="eastAsia"/>
        </w:rPr>
        <w:t>含</w:t>
      </w:r>
      <w:r>
        <w:rPr>
          <w:rFonts w:eastAsia="標楷體" w:hint="eastAsia"/>
        </w:rPr>
        <w:t>)</w:t>
      </w:r>
      <w:r>
        <w:rPr>
          <w:rFonts w:eastAsia="標楷體" w:hint="eastAsia"/>
        </w:rPr>
        <w:t>以上未達新台幣伍億元者，六人。</w:t>
      </w:r>
    </w:p>
    <w:p w14:paraId="571559BC" w14:textId="77777777" w:rsidR="007F71FD" w:rsidRDefault="007F71FD">
      <w:pPr>
        <w:tabs>
          <w:tab w:val="left" w:pos="930"/>
        </w:tabs>
        <w:ind w:leftChars="300" w:left="960" w:hangingChars="100" w:hanging="240"/>
        <w:rPr>
          <w:rFonts w:eastAsia="標楷體"/>
        </w:rPr>
      </w:pPr>
      <w:r>
        <w:rPr>
          <w:rFonts w:eastAsia="標楷體" w:hint="eastAsia"/>
        </w:rPr>
        <w:t>七級：實收資本額新台幣伍億元</w:t>
      </w:r>
      <w:r>
        <w:rPr>
          <w:rFonts w:eastAsia="標楷體" w:hint="eastAsia"/>
        </w:rPr>
        <w:t>(</w:t>
      </w:r>
      <w:r>
        <w:rPr>
          <w:rFonts w:eastAsia="標楷體" w:hint="eastAsia"/>
        </w:rPr>
        <w:t>含</w:t>
      </w:r>
      <w:r>
        <w:rPr>
          <w:rFonts w:eastAsia="標楷體" w:hint="eastAsia"/>
        </w:rPr>
        <w:t>)</w:t>
      </w:r>
      <w:r>
        <w:rPr>
          <w:rFonts w:eastAsia="標楷體" w:hint="eastAsia"/>
        </w:rPr>
        <w:t>以上者，七人。</w:t>
      </w:r>
    </w:p>
    <w:p w14:paraId="692075BC" w14:textId="77777777" w:rsidR="007F71FD" w:rsidRDefault="007F71FD">
      <w:pPr>
        <w:snapToGrid w:val="0"/>
        <w:spacing w:beforeLines="50" w:before="180"/>
        <w:rPr>
          <w:rFonts w:eastAsia="標楷體"/>
        </w:rPr>
      </w:pPr>
      <w:r>
        <w:rPr>
          <w:rFonts w:eastAsia="標楷體" w:hint="eastAsia"/>
        </w:rPr>
        <w:t>第七條</w:t>
      </w:r>
      <w:r>
        <w:rPr>
          <w:rFonts w:eastAsia="標楷體" w:hint="eastAsia"/>
        </w:rPr>
        <w:t xml:space="preserve">    </w:t>
      </w:r>
      <w:r>
        <w:rPr>
          <w:rFonts w:eastAsia="標楷體" w:hint="eastAsia"/>
        </w:rPr>
        <w:t>有左列情形之</w:t>
      </w:r>
      <w:proofErr w:type="gramStart"/>
      <w:r>
        <w:rPr>
          <w:rFonts w:eastAsia="標楷體" w:hint="eastAsia"/>
        </w:rPr>
        <w:t>一</w:t>
      </w:r>
      <w:proofErr w:type="gramEnd"/>
      <w:r>
        <w:rPr>
          <w:rFonts w:eastAsia="標楷體" w:hint="eastAsia"/>
        </w:rPr>
        <w:t>者，不得為會員代表：</w:t>
      </w:r>
    </w:p>
    <w:p w14:paraId="1D51917A" w14:textId="77777777" w:rsidR="007F71FD" w:rsidRDefault="007F71FD">
      <w:pPr>
        <w:tabs>
          <w:tab w:val="left" w:pos="930"/>
        </w:tabs>
        <w:ind w:left="720"/>
        <w:rPr>
          <w:rFonts w:eastAsia="標楷體"/>
        </w:rPr>
      </w:pPr>
      <w:r>
        <w:rPr>
          <w:rFonts w:eastAsia="標楷體" w:hint="eastAsia"/>
        </w:rPr>
        <w:t>一、犯罪經判決確定，在執行中者。</w:t>
      </w:r>
    </w:p>
    <w:p w14:paraId="5D46C98A" w14:textId="77777777" w:rsidR="007F71FD" w:rsidRDefault="007F71FD">
      <w:pPr>
        <w:tabs>
          <w:tab w:val="left" w:pos="930"/>
        </w:tabs>
        <w:ind w:left="720"/>
        <w:rPr>
          <w:rFonts w:eastAsia="標楷體"/>
        </w:rPr>
      </w:pPr>
      <w:r>
        <w:rPr>
          <w:rFonts w:eastAsia="標楷體" w:hint="eastAsia"/>
        </w:rPr>
        <w:t>二、褫奪公權尚未復權者。</w:t>
      </w:r>
    </w:p>
    <w:p w14:paraId="7FAE9343" w14:textId="77777777" w:rsidR="007F71FD" w:rsidRDefault="007F71FD">
      <w:pPr>
        <w:tabs>
          <w:tab w:val="left" w:pos="930"/>
        </w:tabs>
        <w:ind w:left="720"/>
        <w:rPr>
          <w:rFonts w:eastAsia="標楷體"/>
        </w:rPr>
      </w:pPr>
      <w:r>
        <w:rPr>
          <w:rFonts w:eastAsia="標楷體" w:hint="eastAsia"/>
        </w:rPr>
        <w:t>三、受禁治產之宣告尚未撤銷者。</w:t>
      </w:r>
    </w:p>
    <w:p w14:paraId="67547343" w14:textId="77777777" w:rsidR="007F71FD" w:rsidRDefault="007F71FD">
      <w:pPr>
        <w:tabs>
          <w:tab w:val="left" w:pos="930"/>
        </w:tabs>
        <w:ind w:left="720"/>
        <w:rPr>
          <w:rFonts w:eastAsia="標楷體"/>
        </w:rPr>
      </w:pPr>
      <w:r>
        <w:rPr>
          <w:rFonts w:eastAsia="標楷體" w:hint="eastAsia"/>
        </w:rPr>
        <w:t>四、受破產之宣告尚未復權者。</w:t>
      </w:r>
    </w:p>
    <w:p w14:paraId="2DD6D058" w14:textId="77777777" w:rsidR="007F71FD" w:rsidRDefault="007F71FD">
      <w:pPr>
        <w:ind w:firstLineChars="500" w:firstLine="1200"/>
        <w:rPr>
          <w:rFonts w:eastAsia="標楷體"/>
        </w:rPr>
      </w:pPr>
      <w:r>
        <w:rPr>
          <w:rFonts w:eastAsia="標楷體" w:hint="eastAsia"/>
        </w:rPr>
        <w:t>會員代表有前項各款情事之</w:t>
      </w:r>
      <w:proofErr w:type="gramStart"/>
      <w:r>
        <w:rPr>
          <w:rFonts w:eastAsia="標楷體" w:hint="eastAsia"/>
        </w:rPr>
        <w:t>一</w:t>
      </w:r>
      <w:proofErr w:type="gramEnd"/>
      <w:r>
        <w:rPr>
          <w:rFonts w:eastAsia="標楷體" w:hint="eastAsia"/>
        </w:rPr>
        <w:t>者，喪失其代表資格，會員應另派代表接替之。</w:t>
      </w:r>
    </w:p>
    <w:p w14:paraId="2503953D" w14:textId="77777777" w:rsidR="007F71FD" w:rsidRDefault="007F71FD">
      <w:pPr>
        <w:snapToGrid w:val="0"/>
        <w:spacing w:beforeLines="50" w:before="180"/>
        <w:ind w:left="1435" w:hanging="1435"/>
        <w:rPr>
          <w:rFonts w:eastAsia="標楷體"/>
        </w:rPr>
      </w:pPr>
      <w:r>
        <w:rPr>
          <w:rFonts w:eastAsia="標楷體" w:hint="eastAsia"/>
        </w:rPr>
        <w:t>第三十三條</w:t>
      </w:r>
      <w:r>
        <w:rPr>
          <w:rFonts w:eastAsia="標楷體" w:hint="eastAsia"/>
        </w:rPr>
        <w:t xml:space="preserve">      </w:t>
      </w:r>
      <w:r>
        <w:rPr>
          <w:rFonts w:eastAsia="標楷體" w:hint="eastAsia"/>
        </w:rPr>
        <w:t>本會經費來源如左：</w:t>
      </w:r>
    </w:p>
    <w:p w14:paraId="158113C3" w14:textId="77777777" w:rsidR="007F71FD" w:rsidRDefault="007F71FD">
      <w:pPr>
        <w:ind w:leftChars="500" w:left="1200" w:firstLineChars="100" w:firstLine="240"/>
        <w:rPr>
          <w:rFonts w:eastAsia="標楷體"/>
        </w:rPr>
      </w:pPr>
      <w:r>
        <w:rPr>
          <w:rFonts w:eastAsia="標楷體" w:hint="eastAsia"/>
        </w:rPr>
        <w:t>一、入會費一律為新台幣壹萬元。</w:t>
      </w:r>
    </w:p>
    <w:p w14:paraId="13DFE813" w14:textId="77777777" w:rsidR="007F71FD" w:rsidRDefault="007F71FD">
      <w:pPr>
        <w:ind w:leftChars="500" w:left="1200" w:firstLineChars="100" w:firstLine="240"/>
        <w:rPr>
          <w:rFonts w:eastAsia="標楷體"/>
        </w:rPr>
      </w:pPr>
      <w:r>
        <w:rPr>
          <w:rFonts w:eastAsia="標楷體" w:hint="eastAsia"/>
        </w:rPr>
        <w:t>二、常年會費：</w:t>
      </w:r>
    </w:p>
    <w:p w14:paraId="0FD6D847" w14:textId="77777777" w:rsidR="007F71FD" w:rsidRDefault="007F71FD">
      <w:pPr>
        <w:ind w:leftChars="500" w:left="1200" w:firstLineChars="300" w:firstLine="720"/>
        <w:rPr>
          <w:rFonts w:eastAsia="標楷體"/>
        </w:rPr>
      </w:pPr>
      <w:r>
        <w:rPr>
          <w:rFonts w:eastAsia="標楷體" w:hint="eastAsia"/>
        </w:rPr>
        <w:t>一級：實收資本額新台幣柒仟萬元（不含）以下者，繳納新台幣壹萬元。</w:t>
      </w:r>
    </w:p>
    <w:p w14:paraId="4033D82F" w14:textId="77777777" w:rsidR="007F71FD" w:rsidRDefault="007F71FD">
      <w:pPr>
        <w:tabs>
          <w:tab w:val="left" w:pos="930"/>
        </w:tabs>
        <w:ind w:leftChars="800" w:left="2640" w:hangingChars="300" w:hanging="720"/>
        <w:rPr>
          <w:rFonts w:eastAsia="標楷體"/>
        </w:rPr>
      </w:pPr>
      <w:r>
        <w:rPr>
          <w:rFonts w:eastAsia="標楷體" w:hint="eastAsia"/>
        </w:rPr>
        <w:t>二級：實收資本額新台幣柒仟萬元</w:t>
      </w:r>
      <w:r>
        <w:rPr>
          <w:rFonts w:eastAsia="標楷體" w:hint="eastAsia"/>
        </w:rPr>
        <w:t>(</w:t>
      </w:r>
      <w:r>
        <w:rPr>
          <w:rFonts w:eastAsia="標楷體" w:hint="eastAsia"/>
        </w:rPr>
        <w:t>含</w:t>
      </w:r>
      <w:r>
        <w:rPr>
          <w:rFonts w:eastAsia="標楷體" w:hint="eastAsia"/>
        </w:rPr>
        <w:t>)</w:t>
      </w:r>
      <w:r>
        <w:rPr>
          <w:rFonts w:eastAsia="標楷體" w:hint="eastAsia"/>
        </w:rPr>
        <w:t>以上未達新台幣壹億元者，繳納新台幣貳萬元。</w:t>
      </w:r>
    </w:p>
    <w:p w14:paraId="1FF96C5A" w14:textId="77777777" w:rsidR="007F71FD" w:rsidRDefault="007F71FD">
      <w:pPr>
        <w:tabs>
          <w:tab w:val="left" w:pos="930"/>
        </w:tabs>
        <w:ind w:leftChars="800" w:left="2640" w:hangingChars="300" w:hanging="720"/>
        <w:rPr>
          <w:rFonts w:eastAsia="標楷體"/>
        </w:rPr>
      </w:pPr>
      <w:r>
        <w:rPr>
          <w:rFonts w:eastAsia="標楷體" w:hint="eastAsia"/>
        </w:rPr>
        <w:t>三級：實收資本額新台幣壹億元</w:t>
      </w:r>
      <w:r>
        <w:rPr>
          <w:rFonts w:eastAsia="標楷體" w:hint="eastAsia"/>
        </w:rPr>
        <w:t>(</w:t>
      </w:r>
      <w:r>
        <w:rPr>
          <w:rFonts w:eastAsia="標楷體" w:hint="eastAsia"/>
        </w:rPr>
        <w:t>含</w:t>
      </w:r>
      <w:r>
        <w:rPr>
          <w:rFonts w:eastAsia="標楷體" w:hint="eastAsia"/>
        </w:rPr>
        <w:t>)</w:t>
      </w:r>
      <w:r>
        <w:rPr>
          <w:rFonts w:eastAsia="標楷體" w:hint="eastAsia"/>
        </w:rPr>
        <w:t>以上未達新台幣壹億伍仟萬元者，繳納新台幣參萬元。</w:t>
      </w:r>
    </w:p>
    <w:p w14:paraId="3EBE740A" w14:textId="77777777" w:rsidR="007F71FD" w:rsidRDefault="007F71FD">
      <w:pPr>
        <w:tabs>
          <w:tab w:val="left" w:pos="930"/>
        </w:tabs>
        <w:ind w:leftChars="800" w:left="2640" w:hangingChars="300" w:hanging="720"/>
        <w:rPr>
          <w:rFonts w:eastAsia="標楷體"/>
        </w:rPr>
      </w:pPr>
      <w:r>
        <w:rPr>
          <w:rFonts w:eastAsia="標楷體" w:hint="eastAsia"/>
        </w:rPr>
        <w:t>四級：實收資本額新台幣壹億伍仟萬元</w:t>
      </w:r>
      <w:r>
        <w:rPr>
          <w:rFonts w:eastAsia="標楷體" w:hint="eastAsia"/>
        </w:rPr>
        <w:t>(</w:t>
      </w:r>
      <w:r>
        <w:rPr>
          <w:rFonts w:eastAsia="標楷體" w:hint="eastAsia"/>
        </w:rPr>
        <w:t>含</w:t>
      </w:r>
      <w:r>
        <w:rPr>
          <w:rFonts w:eastAsia="標楷體" w:hint="eastAsia"/>
        </w:rPr>
        <w:t>)</w:t>
      </w:r>
      <w:r>
        <w:rPr>
          <w:rFonts w:eastAsia="標楷體" w:hint="eastAsia"/>
        </w:rPr>
        <w:t>以上未達新台幣貳億元者，繳納新台幣肆萬元。</w:t>
      </w:r>
    </w:p>
    <w:p w14:paraId="2B767814" w14:textId="77777777" w:rsidR="007F71FD" w:rsidRDefault="007F71FD">
      <w:pPr>
        <w:tabs>
          <w:tab w:val="left" w:pos="930"/>
        </w:tabs>
        <w:ind w:leftChars="800" w:left="2640" w:hangingChars="300" w:hanging="720"/>
        <w:rPr>
          <w:rFonts w:eastAsia="標楷體"/>
        </w:rPr>
      </w:pPr>
      <w:r>
        <w:rPr>
          <w:rFonts w:eastAsia="標楷體" w:hint="eastAsia"/>
        </w:rPr>
        <w:t>五級：實收資本額新台幣貳億元</w:t>
      </w:r>
      <w:r>
        <w:rPr>
          <w:rFonts w:eastAsia="標楷體" w:hint="eastAsia"/>
        </w:rPr>
        <w:t>(</w:t>
      </w:r>
      <w:r>
        <w:rPr>
          <w:rFonts w:eastAsia="標楷體" w:hint="eastAsia"/>
        </w:rPr>
        <w:t>含</w:t>
      </w:r>
      <w:r>
        <w:rPr>
          <w:rFonts w:eastAsia="標楷體" w:hint="eastAsia"/>
        </w:rPr>
        <w:t>)</w:t>
      </w:r>
      <w:r>
        <w:rPr>
          <w:rFonts w:eastAsia="標楷體" w:hint="eastAsia"/>
        </w:rPr>
        <w:t>以上未達新台幣參億元者，繳納新台幣伍萬元。</w:t>
      </w:r>
    </w:p>
    <w:p w14:paraId="7AE965F0" w14:textId="77777777" w:rsidR="007F71FD" w:rsidRDefault="007F71FD">
      <w:pPr>
        <w:tabs>
          <w:tab w:val="left" w:pos="930"/>
        </w:tabs>
        <w:ind w:leftChars="800" w:left="2640" w:hangingChars="300" w:hanging="720"/>
        <w:rPr>
          <w:rFonts w:eastAsia="標楷體"/>
        </w:rPr>
      </w:pPr>
      <w:r>
        <w:rPr>
          <w:rFonts w:eastAsia="標楷體" w:hint="eastAsia"/>
        </w:rPr>
        <w:t>六級：實收資本額新台幣參億元</w:t>
      </w:r>
      <w:r>
        <w:rPr>
          <w:rFonts w:eastAsia="標楷體" w:hint="eastAsia"/>
        </w:rPr>
        <w:t>(</w:t>
      </w:r>
      <w:r>
        <w:rPr>
          <w:rFonts w:eastAsia="標楷體" w:hint="eastAsia"/>
        </w:rPr>
        <w:t>含</w:t>
      </w:r>
      <w:r>
        <w:rPr>
          <w:rFonts w:eastAsia="標楷體" w:hint="eastAsia"/>
        </w:rPr>
        <w:t>)</w:t>
      </w:r>
      <w:r>
        <w:rPr>
          <w:rFonts w:eastAsia="標楷體" w:hint="eastAsia"/>
        </w:rPr>
        <w:t>以上未達新台幣伍億元者，繳納新台幣陸萬元。</w:t>
      </w:r>
    </w:p>
    <w:p w14:paraId="66F89DBF" w14:textId="77777777" w:rsidR="007F71FD" w:rsidRDefault="007F71FD">
      <w:pPr>
        <w:ind w:rightChars="-289" w:right="-694" w:firstLineChars="775" w:firstLine="1860"/>
        <w:rPr>
          <w:rFonts w:eastAsia="標楷體"/>
        </w:rPr>
      </w:pPr>
      <w:r>
        <w:rPr>
          <w:rFonts w:eastAsia="標楷體" w:hint="eastAsia"/>
        </w:rPr>
        <w:t>七級：實收資本額新台幣伍億元</w:t>
      </w:r>
      <w:r>
        <w:rPr>
          <w:rFonts w:eastAsia="標楷體" w:hint="eastAsia"/>
        </w:rPr>
        <w:t>(</w:t>
      </w:r>
      <w:r>
        <w:rPr>
          <w:rFonts w:eastAsia="標楷體" w:hint="eastAsia"/>
        </w:rPr>
        <w:t>含</w:t>
      </w:r>
      <w:r>
        <w:rPr>
          <w:rFonts w:eastAsia="標楷體" w:hint="eastAsia"/>
        </w:rPr>
        <w:t>)</w:t>
      </w:r>
      <w:r>
        <w:rPr>
          <w:rFonts w:eastAsia="標楷體" w:hint="eastAsia"/>
        </w:rPr>
        <w:t>以上者，繳納新台幣柒萬元。</w:t>
      </w:r>
    </w:p>
    <w:p w14:paraId="6AC8A870" w14:textId="091CC283" w:rsidR="00A26056" w:rsidRDefault="00A26056" w:rsidP="00A26056">
      <w:pPr>
        <w:snapToGrid w:val="0"/>
        <w:spacing w:beforeLines="50" w:before="180"/>
        <w:ind w:rightChars="-34" w:right="-82"/>
        <w:jc w:val="both"/>
        <w:rPr>
          <w:rFonts w:eastAsia="標楷體"/>
        </w:rPr>
      </w:pPr>
      <w:r>
        <w:rPr>
          <w:rFonts w:eastAsia="標楷體" w:hint="eastAsia"/>
        </w:rPr>
        <w:t>※請檢附公司營利事業登記核准函影本、工程技術顧問公司登記證影本，連同入會申請書郵寄至</w:t>
      </w:r>
      <w:r w:rsidR="00346036" w:rsidRPr="00346036">
        <w:rPr>
          <w:rFonts w:eastAsia="標楷體" w:hint="eastAsia"/>
        </w:rPr>
        <w:t>114714</w:t>
      </w:r>
      <w:r w:rsidR="00346036" w:rsidRPr="00346036">
        <w:rPr>
          <w:rFonts w:eastAsia="標楷體" w:hint="eastAsia"/>
        </w:rPr>
        <w:t>台北市內湖區陽光街</w:t>
      </w:r>
      <w:r w:rsidR="00346036" w:rsidRPr="00346036">
        <w:rPr>
          <w:rFonts w:eastAsia="標楷體" w:hint="eastAsia"/>
        </w:rPr>
        <w:t>321</w:t>
      </w:r>
      <w:r w:rsidR="00346036" w:rsidRPr="00346036">
        <w:rPr>
          <w:rFonts w:eastAsia="標楷體" w:hint="eastAsia"/>
        </w:rPr>
        <w:t>巷</w:t>
      </w:r>
      <w:r w:rsidR="00346036" w:rsidRPr="00346036">
        <w:rPr>
          <w:rFonts w:eastAsia="標楷體" w:hint="eastAsia"/>
        </w:rPr>
        <w:t>56</w:t>
      </w:r>
      <w:r w:rsidR="00346036" w:rsidRPr="00346036">
        <w:rPr>
          <w:rFonts w:eastAsia="標楷體" w:hint="eastAsia"/>
        </w:rPr>
        <w:t>號</w:t>
      </w:r>
      <w:r w:rsidR="00346036" w:rsidRPr="00346036">
        <w:rPr>
          <w:rFonts w:eastAsia="標楷體" w:hint="eastAsia"/>
        </w:rPr>
        <w:t>4</w:t>
      </w:r>
      <w:r w:rsidR="00346036" w:rsidRPr="00346036">
        <w:rPr>
          <w:rFonts w:eastAsia="標楷體" w:hint="eastAsia"/>
        </w:rPr>
        <w:t>樓之</w:t>
      </w:r>
      <w:r w:rsidR="00346036" w:rsidRPr="00346036">
        <w:rPr>
          <w:rFonts w:eastAsia="標楷體" w:hint="eastAsia"/>
        </w:rPr>
        <w:t>1</w:t>
      </w:r>
      <w:r>
        <w:rPr>
          <w:rFonts w:eastAsia="標楷體" w:hint="eastAsia"/>
        </w:rPr>
        <w:t>，審核完畢後再辦理繳費事宜。</w:t>
      </w:r>
    </w:p>
    <w:p w14:paraId="2EF2BACA" w14:textId="70B73AA9" w:rsidR="007F71FD" w:rsidRPr="00A26056" w:rsidRDefault="00A26056" w:rsidP="00A26056">
      <w:pPr>
        <w:snapToGrid w:val="0"/>
        <w:ind w:rightChars="-34" w:right="-82"/>
        <w:jc w:val="both"/>
      </w:pPr>
      <w:r>
        <w:rPr>
          <w:rFonts w:eastAsia="標楷體" w:hint="eastAsia"/>
        </w:rPr>
        <w:t>聯絡人：丁怡菱，電話：</w:t>
      </w:r>
      <w:r>
        <w:rPr>
          <w:rFonts w:eastAsia="標楷體"/>
        </w:rPr>
        <w:t>(02)2706-1511</w:t>
      </w:r>
    </w:p>
    <w:sectPr w:rsidR="007F71FD" w:rsidRPr="00A26056" w:rsidSect="0042395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59EF4" w14:textId="77777777" w:rsidR="0022445E" w:rsidRDefault="0022445E" w:rsidP="00704768">
      <w:r>
        <w:separator/>
      </w:r>
    </w:p>
  </w:endnote>
  <w:endnote w:type="continuationSeparator" w:id="0">
    <w:p w14:paraId="32F8B441" w14:textId="77777777" w:rsidR="0022445E" w:rsidRDefault="0022445E" w:rsidP="0070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B987" w14:textId="77777777" w:rsidR="0022445E" w:rsidRDefault="0022445E" w:rsidP="00704768">
      <w:r>
        <w:separator/>
      </w:r>
    </w:p>
  </w:footnote>
  <w:footnote w:type="continuationSeparator" w:id="0">
    <w:p w14:paraId="3B018691" w14:textId="77777777" w:rsidR="0022445E" w:rsidRDefault="0022445E" w:rsidP="00704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84E2C"/>
    <w:multiLevelType w:val="hybridMultilevel"/>
    <w:tmpl w:val="B790C41C"/>
    <w:lvl w:ilvl="0" w:tplc="33A24BC8">
      <w:start w:val="6"/>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F2E14C7"/>
    <w:multiLevelType w:val="hybridMultilevel"/>
    <w:tmpl w:val="391C54E4"/>
    <w:lvl w:ilvl="0" w:tplc="5810EF62">
      <w:start w:val="1"/>
      <w:numFmt w:val="taiwaneseCountingThousand"/>
      <w:lvlText w:val="第%1條"/>
      <w:lvlJc w:val="left"/>
      <w:pPr>
        <w:tabs>
          <w:tab w:val="num" w:pos="960"/>
        </w:tabs>
        <w:ind w:left="960" w:hanging="960"/>
      </w:pPr>
      <w:rPr>
        <w:rFonts w:hint="eastAsia"/>
      </w:rPr>
    </w:lvl>
    <w:lvl w:ilvl="1" w:tplc="04090019">
      <w:start w:val="1"/>
      <w:numFmt w:val="ideographTraditional"/>
      <w:lvlText w:val="%2、"/>
      <w:lvlJc w:val="left"/>
      <w:pPr>
        <w:tabs>
          <w:tab w:val="num" w:pos="960"/>
        </w:tabs>
        <w:ind w:left="960" w:hanging="480"/>
      </w:pPr>
    </w:lvl>
    <w:lvl w:ilvl="2" w:tplc="3A52E4D6">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872650961">
    <w:abstractNumId w:val="1"/>
  </w:num>
  <w:num w:numId="2" w16cid:durableId="106819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C7"/>
    <w:rsid w:val="00005A52"/>
    <w:rsid w:val="00016258"/>
    <w:rsid w:val="000C78C7"/>
    <w:rsid w:val="000D5675"/>
    <w:rsid w:val="0022445E"/>
    <w:rsid w:val="00346036"/>
    <w:rsid w:val="00423952"/>
    <w:rsid w:val="005C7890"/>
    <w:rsid w:val="00704768"/>
    <w:rsid w:val="007F71FD"/>
    <w:rsid w:val="00943D72"/>
    <w:rsid w:val="00A26056"/>
    <w:rsid w:val="00A32262"/>
    <w:rsid w:val="00A9763F"/>
    <w:rsid w:val="00D376DF"/>
    <w:rsid w:val="00DA30C7"/>
    <w:rsid w:val="00EF4087"/>
    <w:rsid w:val="00F335C8"/>
    <w:rsid w:val="00FA18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0F18F"/>
  <w15:chartTrackingRefBased/>
  <w15:docId w15:val="{5A1CF7B6-5974-41AC-B4BF-A524B69A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0"/>
      </w:tabs>
      <w:ind w:leftChars="300" w:left="720" w:firstLineChars="200" w:firstLine="480"/>
    </w:pPr>
    <w:rPr>
      <w:rFonts w:eastAsia="標楷體"/>
    </w:rPr>
  </w:style>
  <w:style w:type="paragraph" w:styleId="a4">
    <w:name w:val="header"/>
    <w:basedOn w:val="a"/>
    <w:link w:val="a5"/>
    <w:rsid w:val="00704768"/>
    <w:pPr>
      <w:tabs>
        <w:tab w:val="center" w:pos="4153"/>
        <w:tab w:val="right" w:pos="8306"/>
      </w:tabs>
      <w:snapToGrid w:val="0"/>
    </w:pPr>
    <w:rPr>
      <w:sz w:val="20"/>
      <w:szCs w:val="20"/>
    </w:rPr>
  </w:style>
  <w:style w:type="character" w:customStyle="1" w:styleId="a5">
    <w:name w:val="頁首 字元"/>
    <w:link w:val="a4"/>
    <w:rsid w:val="00704768"/>
    <w:rPr>
      <w:kern w:val="2"/>
    </w:rPr>
  </w:style>
  <w:style w:type="paragraph" w:styleId="a6">
    <w:name w:val="footer"/>
    <w:basedOn w:val="a"/>
    <w:link w:val="a7"/>
    <w:rsid w:val="00704768"/>
    <w:pPr>
      <w:tabs>
        <w:tab w:val="center" w:pos="4153"/>
        <w:tab w:val="right" w:pos="8306"/>
      </w:tabs>
      <w:snapToGrid w:val="0"/>
    </w:pPr>
    <w:rPr>
      <w:sz w:val="20"/>
      <w:szCs w:val="20"/>
    </w:rPr>
  </w:style>
  <w:style w:type="character" w:customStyle="1" w:styleId="a7">
    <w:name w:val="頁尾 字元"/>
    <w:link w:val="a6"/>
    <w:rsid w:val="0070476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中鼎工程股份有限公司</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中華民國工程技術顧問商業同業公會</dc:title>
  <dc:subject/>
  <dc:creator>CTCI Software</dc:creator>
  <cp:keywords/>
  <dc:description/>
  <cp:lastModifiedBy>user</cp:lastModifiedBy>
  <cp:revision>3</cp:revision>
  <cp:lastPrinted>2009-12-30T01:27:00Z</cp:lastPrinted>
  <dcterms:created xsi:type="dcterms:W3CDTF">2024-08-02T05:50:00Z</dcterms:created>
  <dcterms:modified xsi:type="dcterms:W3CDTF">2025-02-12T03:45:00Z</dcterms:modified>
</cp:coreProperties>
</file>